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Отделение СФР по Краснодарскому краю выдало кубанским льготникам  более 2,2 тысяч путевок на санаторно-курортное лечение</w:t>
      </w:r>
    </w:p>
    <w:p>
      <w:pPr>
        <w:pStyle w:val="Normal"/>
        <w:jc w:val="center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i/>
          <w:i/>
        </w:rPr>
      </w:pPr>
      <w:r>
        <w:rPr>
          <w:i/>
        </w:rPr>
        <w:t xml:space="preserve">Отделение Социального фонда России по Краснодарскому краю   проводит работу  по обеспечению граждан льготных категорий санаторно-курортным лечением, а также бесплатного проезда к месту лечения и обратно. С 1 января 2023 года 2275 жителей Кубани льготной категории воспользовались правом и прошли лечение в различных здравницах России.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 xml:space="preserve">К льготной категории относятся  граждане, включенные в Федеральный регистр лиц, которые имеют право на получение государственной социальной помощи (инвалиды войны, участники Великой отечественной войны, ветераны боевых действий, инвалиды, дети-инвалиды и другие).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 xml:space="preserve">Граждане льготной категории,  сохранившие право на санаторно-курортное лечение при наличии медицинских показаний, могут обратиться в любой </w:t>
      </w:r>
      <w:hyperlink r:id="rId2">
        <w:r>
          <w:rPr>
            <w:rFonts w:eastAsia="Calibri" w:eastAsiaTheme="minorHAnsi"/>
            <w:color w:val="0000FF" w:themeColor="hyperlink"/>
            <w:u w:val="single"/>
            <w:lang w:eastAsia="en-US"/>
          </w:rPr>
          <w:t>региональный офис</w:t>
        </w:r>
      </w:hyperlink>
      <w:r>
        <w:rPr/>
        <w:t xml:space="preserve"> Социального фонда России по Краснодарскому краю.     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Для получения путевки гражданам необходимо представить следующие документы: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/>
        <w:t>заявление о предоставлении государственной услуги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/>
        <w:t>справку для получения путевки по форме № 070/у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/>
      </w:pPr>
      <w:r>
        <w:rPr/>
        <w:t>документ, удостоверяющий личность.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  <w:t>В случае если льготник самостоятельно приобретает путевку на санаторно-курортное лечение, компенсация расходов за нее не предоставляется.</w:t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>
          <w:rStyle w:val="Style9"/>
          <w:b/>
          <w:b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footerReference w:type="even" r:id="rId10"/>
      <w:footerReference w:type="default" r:id="rId11"/>
      <w:footerReference w:type="first" r:id="rId12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.gov.ru/branches/krasnodar/info/~0/7415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vk.com/sfr.krasnodarskiykray" TargetMode="External"/><Relationship Id="rId5" Type="http://schemas.openxmlformats.org/officeDocument/2006/relationships/image" Target="media/image2.jpeg"/><Relationship Id="rId6" Type="http://schemas.openxmlformats.org/officeDocument/2006/relationships/hyperlink" Target="http://ok.ru/sfr.krasnodarskiykray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t.me/sfr_krasnodarskiykra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9DA3-66B2-4700-AA8C-EE36F9FC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176</Words>
  <Characters>1251</Characters>
  <CharactersWithSpaces>1453</CharactersWithSpaces>
  <Paragraphs>16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2023-04-12T08:34:00Z</dcterms:created>
  <dc:creator>Обиход Владимир Анатольевич</dc:creator>
  <dc:description/>
  <dc:language>ru-RU</dc:language>
  <cp:lastModifiedBy>Обиход Владимир Анатольевич</cp:lastModifiedBy>
  <cp:lastPrinted>2023-04-12T15:02:43Z</cp:lastPrinted>
  <dcterms:modified xsi:type="dcterms:W3CDTF">2023-04-12T08:34:00Z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