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C" w:rsidRPr="004B4352" w:rsidRDefault="00DA590C" w:rsidP="00DA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Закреплены дополнительные гарантии защиты избирательных прав граждан.</w:t>
      </w: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590C" w:rsidRPr="00DA590C" w:rsidRDefault="00DA590C" w:rsidP="00DA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Pr="00D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закон от 30 апреля 2021 №</w:t>
      </w:r>
      <w:r w:rsidRPr="00D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 внесены  поправки в Кодекс административного судопроизводства,  в  Федеральный закон </w:t>
      </w:r>
      <w:r w:rsidRPr="00DA590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 и в Федеральный закон «О выборах депутатов Государственной Думы Федерального Собрания Российской Федерации».</w:t>
      </w:r>
    </w:p>
    <w:p w:rsidR="00DA590C" w:rsidRPr="00DA590C" w:rsidRDefault="00DA590C" w:rsidP="00DA5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5-ти дней сокращен срок </w:t>
      </w:r>
      <w:proofErr w:type="gram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подачу в вышестоящую комиссию жалобы на решение нижестоящей об отказе в регистрации</w:t>
      </w:r>
      <w:proofErr w:type="gram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кандидата, инициативной или иной группы участников референдума, об отказе в заверении списка кандидатов. Указанная жалоба должна быть рассмотрена в течение 7-ми дней. При этом решение, принятое по ней, может быть обжаловано только в суд.</w:t>
      </w:r>
    </w:p>
    <w:p w:rsidR="00DA590C" w:rsidRDefault="00DA590C" w:rsidP="00DA5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предвыборная агитация в день голосования. Также установлен запрет на проведение предвыборной агитации в день, предшествующий дню голосования, за исключением случая принятия решения о голосовании в течение нескольких дней подряд. В этом случае предвыборная агитация должна оканчиваться в 00:00 часов по местному времени первого дня голосования.</w:t>
      </w:r>
    </w:p>
    <w:p w:rsidR="00DA590C" w:rsidRDefault="00DA590C" w:rsidP="00DA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90C">
        <w:rPr>
          <w:rFonts w:ascii="Times New Roman" w:hAnsi="Times New Roman" w:cs="Times New Roman"/>
          <w:sz w:val="28"/>
          <w:szCs w:val="28"/>
        </w:rPr>
        <w:t>Закреплено, что решение комиссии о регистрации кандидата не может быть отменено судом в связи с нарушением требований, предъявляемых к оформлению документов, если избирательная комиссия не известила кандидата об этом, при том, что такие нарушения являлись для нее очевидными (не требовали дополнительной проверки) и не могли быть известны кандидату на момент представления документов.</w:t>
      </w:r>
      <w:proofErr w:type="gramEnd"/>
    </w:p>
    <w:p w:rsidR="00DA590C" w:rsidRPr="00DA590C" w:rsidRDefault="00DA590C" w:rsidP="00DA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0C">
        <w:rPr>
          <w:rFonts w:ascii="Times New Roman" w:hAnsi="Times New Roman" w:cs="Times New Roman"/>
          <w:sz w:val="28"/>
          <w:szCs w:val="28"/>
        </w:rPr>
        <w:t xml:space="preserve">Закон вступил в силу с 30.04.2021, однако содержит норму о том, что применяется </w:t>
      </w:r>
      <w:r w:rsidRPr="00DA590C">
        <w:rPr>
          <w:rFonts w:ascii="Times New Roman" w:hAnsi="Times New Roman" w:cs="Times New Roman"/>
          <w:sz w:val="28"/>
          <w:szCs w:val="28"/>
        </w:rPr>
        <w:t>к правоотношениям, возникшим в связи с проведением выборов, референдумов, назначенных после дня его вступления в силу.</w:t>
      </w:r>
    </w:p>
    <w:p w:rsidR="00DA590C" w:rsidRPr="00AC64D8" w:rsidRDefault="00DA590C" w:rsidP="00DA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0C" w:rsidRDefault="00DA590C" w:rsidP="00DA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DA590C" w:rsidRDefault="00DA590C" w:rsidP="00DA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Н.Н. Кулешова </w:t>
      </w:r>
    </w:p>
    <w:p w:rsidR="00DA590C" w:rsidRDefault="00DA590C" w:rsidP="00DA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90C" w:rsidRPr="00F115A6" w:rsidRDefault="00DA590C" w:rsidP="00DA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.05.2021 </w:t>
      </w:r>
    </w:p>
    <w:p w:rsidR="00DA590C" w:rsidRPr="00AC64D8" w:rsidRDefault="00DA590C" w:rsidP="00DA5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0C" w:rsidRDefault="00DA590C" w:rsidP="00DA590C"/>
    <w:p w:rsidR="00DA590C" w:rsidRDefault="00DA590C" w:rsidP="00DA590C"/>
    <w:p w:rsidR="007A3EC0" w:rsidRDefault="007A3EC0"/>
    <w:sectPr w:rsidR="007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0C"/>
    <w:rsid w:val="007A3EC0"/>
    <w:rsid w:val="00D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2021-05-17T12:17:00Z</dcterms:created>
  <dcterms:modified xsi:type="dcterms:W3CDTF">2021-05-17T12:28:00Z</dcterms:modified>
</cp:coreProperties>
</file>