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07.12.2023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11 тысяч кубанских семей направили средства материнского капитала на образование детей в 2023 году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11 201 кубанская семья направила средства материнского капитала на обучение детей в 2023 году.  На эти цели Отделение СФР по Краснодарскому краю перечислило 920 миллионов рублей.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Средствами семейного капитала можно оплатить обучение ребенка в любых образовательных организациях — от детского сада до университета, курсы иностранного языка и вождения автомобиля, уроки творчества и спортивные занятия. Главное условие, чтобы у организации была лицензия на образовательную деятельность.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«Теперь родители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ИП», — отметила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bCs/>
          <w:sz w:val="28"/>
          <w:szCs w:val="28"/>
        </w:rPr>
        <w:t>Татьяна Ткаченко</w:t>
      </w:r>
      <w:r>
        <w:rPr>
          <w:rFonts w:ascii="Montserrat" w:hAnsi="Montserrat"/>
          <w:bCs/>
          <w:sz w:val="28"/>
          <w:szCs w:val="28"/>
        </w:rPr>
        <w:t>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Помимо этого, маткапитал позволяет оплатить жилое помещение и коммунальные услуги в общежитии, предоставленном на время обучения. Средства господдержки можно направить на образование как родных, так и усыновленных детей. Главное, чтобы ребенок был младше 25 лет, а учебное заведение находилось в России и имело лицензию.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между учебной организацией и Социальным фондом подписано соглашение об информационном взаимодействии, родителям не нужно предоставлять в Отделение фонда договор об оказании платных образовательных услуг. В настоящее время ОСФР по Краснодарскому краю заключило 111 соглашений с учебными заведениями и 3 соглашения с индивидуальными предпринимателями, оказывающими образовательные услуги.</w:t>
      </w:r>
    </w:p>
    <w:p>
      <w:pPr>
        <w:pStyle w:val="NormalWeb"/>
        <w:spacing w:lineRule="auto" w:line="360"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Чтобы воспользоваться маткапиталом, нужно подать заявление на портале Госуслуг, в МФЦ или клиентской службе СФР.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E06B-B376-4F7F-94BA-BE314D2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251</Words>
  <Characters>1697</Characters>
  <CharactersWithSpaces>1944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2023-12-06T12:19:00Z</dcterms:created>
  <dc:creator>Обиход Владимир Анатольевич</dc:creator>
  <dc:description/>
  <dc:language>ru-RU</dc:language>
  <cp:lastModifiedBy>Чеботарь Ольга Андреевна</cp:lastModifiedBy>
  <cp:lastPrinted>2023-12-06T06:13:00Z</cp:lastPrinted>
  <dcterms:modified xsi:type="dcterms:W3CDTF">2023-12-06T12:19:00Z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