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11.10.2023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День пенсионной и социальной грамотности для учащейся молодежи пройдет на Кубани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12 октября 2023 года пройдет День пенсионной и социальной грамотности для учащейся молодежи Кубани. В этот день руководители клиентских служб Отделения СФР по Краснодарскому краю проведут в 44 школах открытые уроки по пенсионной, финансовой и социальной грамотности для старшеклассников (9-11 классы).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На открытых уроках специалисты Отделения фонда расскажут, как заработать страховую пенсию, какие факторы влияют на размер пенсии, почему важна белая зарплата. На простых примерах школьникам продемонстрируют возможности портала Госуслуг, а также представят </w:t>
      </w:r>
      <w:hyperlink r:id="rId2">
        <w:r>
          <w:rPr>
            <w:rFonts w:ascii="Montserrat" w:hAnsi="Montserrat"/>
            <w:bCs/>
            <w:iCs/>
            <w:sz w:val="28"/>
            <w:szCs w:val="28"/>
          </w:rPr>
          <w:t>сайт «Школьникам о пенсии»</w:t>
        </w:r>
      </w:hyperlink>
      <w:r>
        <w:rPr>
          <w:rFonts w:ascii="Montserrat" w:hAnsi="Montserrat"/>
          <w:bCs/>
          <w:iCs/>
          <w:sz w:val="28"/>
          <w:szCs w:val="28"/>
        </w:rPr>
        <w:t xml:space="preserve">. 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Следует отметить, что с 2011 года на уроках и лекциях пенсионной грамотности в крае побывало более 120 тысяч учащихся Краснодарского края.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9"/>
      <w:headerReference w:type="first" r:id="rId10"/>
      <w:footerReference w:type="even" r:id="rId11"/>
      <w:footerReference w:type="default" r:id="rId12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chool.sfr.gov.ru/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sfr.krasnodarskiykray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ok.ru/sfr.krasnodarskiykray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t.me/sfr_krasnodarskiykray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11C3-A808-44E0-B097-D2868B6A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137</Words>
  <Characters>901</Characters>
  <CharactersWithSpaces>1033</CharactersWithSpaces>
  <Paragraphs>20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2023-10-09T13:05:00Z</dcterms:created>
  <dc:creator>Обиход Владимир Анатольевич</dc:creator>
  <dc:description/>
  <dc:language>ru-RU</dc:language>
  <cp:lastModifiedBy/>
  <cp:lastPrinted>2023-10-11T08:22:38Z</cp:lastPrinted>
  <dcterms:modified xsi:type="dcterms:W3CDTF">2023-10-11T08:22:52Z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